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906" w:rsidRDefault="00024906" w:rsidP="00024906">
      <w:pPr>
        <w:widowControl/>
        <w:jc w:val="center"/>
        <w:rPr>
          <w:rFonts w:ascii="標楷體" w:eastAsia="標楷體" w:hAnsi="標楷體"/>
          <w:b/>
          <w:sz w:val="28"/>
          <w:szCs w:val="28"/>
        </w:rPr>
      </w:pPr>
      <w:r w:rsidRPr="0029608D">
        <w:rPr>
          <w:rFonts w:ascii="標楷體" w:eastAsia="標楷體" w:hAnsi="標楷體" w:hint="eastAsia"/>
          <w:b/>
          <w:sz w:val="28"/>
          <w:szCs w:val="28"/>
        </w:rPr>
        <w:t>亞洲大學附屬醫院及校外合作機構合聘教師以研究升等標準</w:t>
      </w:r>
    </w:p>
    <w:p w:rsidR="00024906" w:rsidRPr="00CD1CD2" w:rsidRDefault="00024906" w:rsidP="00B21456">
      <w:pPr>
        <w:widowControl/>
        <w:spacing w:line="300" w:lineRule="exact"/>
        <w:jc w:val="right"/>
        <w:rPr>
          <w:rFonts w:ascii="標楷體" w:eastAsia="標楷體" w:hAnsi="標楷體"/>
          <w:sz w:val="20"/>
          <w:szCs w:val="20"/>
        </w:rPr>
      </w:pPr>
      <w:r w:rsidRPr="00CD1CD2">
        <w:rPr>
          <w:rFonts w:ascii="標楷體" w:eastAsia="標楷體" w:hAnsi="標楷體" w:hint="eastAsia"/>
          <w:sz w:val="20"/>
          <w:szCs w:val="20"/>
        </w:rPr>
        <w:t>108.01.23 107學年度第2次校務會議通過</w:t>
      </w:r>
    </w:p>
    <w:p w:rsidR="00024906" w:rsidRDefault="00024906" w:rsidP="00B21456">
      <w:pPr>
        <w:widowControl/>
        <w:spacing w:line="300" w:lineRule="exact"/>
        <w:jc w:val="right"/>
        <w:rPr>
          <w:rFonts w:ascii="標楷體" w:eastAsia="標楷體" w:hAnsi="標楷體"/>
          <w:kern w:val="0"/>
          <w:sz w:val="20"/>
        </w:rPr>
      </w:pPr>
      <w:r w:rsidRPr="00CD1CD2">
        <w:rPr>
          <w:rFonts w:ascii="標楷體" w:eastAsia="標楷體" w:hAnsi="標楷體" w:hint="eastAsia"/>
          <w:sz w:val="20"/>
          <w:szCs w:val="20"/>
        </w:rPr>
        <w:t>108.02.11</w:t>
      </w:r>
      <w:r w:rsidRPr="00CD1CD2">
        <w:rPr>
          <w:rFonts w:ascii="標楷體" w:eastAsia="標楷體" w:hAnsi="標楷體" w:hint="eastAsia"/>
          <w:kern w:val="0"/>
          <w:sz w:val="20"/>
        </w:rPr>
        <w:t>亞洲秘字第1080001425號函發布</w:t>
      </w:r>
    </w:p>
    <w:p w:rsidR="00024906" w:rsidRDefault="00024906" w:rsidP="00B21456">
      <w:pPr>
        <w:widowControl/>
        <w:spacing w:line="300" w:lineRule="exact"/>
        <w:jc w:val="right"/>
        <w:rPr>
          <w:rFonts w:ascii="標楷體" w:eastAsia="標楷體" w:hAnsi="標楷體"/>
          <w:kern w:val="0"/>
          <w:sz w:val="20"/>
        </w:rPr>
      </w:pPr>
      <w:r>
        <w:rPr>
          <w:rFonts w:ascii="標楷體" w:eastAsia="標楷體" w:hAnsi="標楷體" w:hint="eastAsia"/>
          <w:kern w:val="0"/>
          <w:sz w:val="20"/>
        </w:rPr>
        <w:t>108.05.15 107學年度第3次</w:t>
      </w:r>
      <w:r w:rsidR="00FE2B7F">
        <w:rPr>
          <w:rFonts w:ascii="標楷體" w:eastAsia="標楷體" w:hAnsi="標楷體" w:hint="eastAsia"/>
          <w:kern w:val="0"/>
          <w:sz w:val="20"/>
        </w:rPr>
        <w:t>校務</w:t>
      </w:r>
      <w:bookmarkStart w:id="0" w:name="_GoBack"/>
      <w:bookmarkEnd w:id="0"/>
      <w:r>
        <w:rPr>
          <w:rFonts w:ascii="標楷體" w:eastAsia="標楷體" w:hAnsi="標楷體" w:hint="eastAsia"/>
          <w:kern w:val="0"/>
          <w:sz w:val="20"/>
        </w:rPr>
        <w:t>會議通過修正第4條條文與附件</w:t>
      </w:r>
    </w:p>
    <w:p w:rsidR="00024906" w:rsidRPr="00CD1CD2" w:rsidRDefault="00B21456" w:rsidP="00B21456">
      <w:pPr>
        <w:widowControl/>
        <w:spacing w:line="300" w:lineRule="exact"/>
        <w:jc w:val="right"/>
        <w:rPr>
          <w:rFonts w:ascii="標楷體" w:eastAsia="標楷體" w:hAnsi="標楷體"/>
          <w:sz w:val="20"/>
          <w:szCs w:val="20"/>
        </w:rPr>
      </w:pPr>
      <w:r>
        <w:rPr>
          <w:rFonts w:ascii="標楷體" w:eastAsia="標楷體" w:hAnsi="標楷體" w:hint="eastAsia"/>
          <w:sz w:val="20"/>
          <w:szCs w:val="20"/>
        </w:rPr>
        <w:t>108.06.05</w:t>
      </w:r>
      <w:r w:rsidRPr="00CD1CD2">
        <w:rPr>
          <w:rFonts w:ascii="標楷體" w:eastAsia="標楷體" w:hAnsi="標楷體" w:hint="eastAsia"/>
          <w:kern w:val="0"/>
          <w:sz w:val="20"/>
        </w:rPr>
        <w:t>亞洲秘字第108000</w:t>
      </w:r>
      <w:r>
        <w:rPr>
          <w:rFonts w:ascii="標楷體" w:eastAsia="標楷體" w:hAnsi="標楷體" w:hint="eastAsia"/>
          <w:kern w:val="0"/>
          <w:sz w:val="20"/>
        </w:rPr>
        <w:t>7981</w:t>
      </w:r>
      <w:r w:rsidRPr="00CD1CD2">
        <w:rPr>
          <w:rFonts w:ascii="標楷體" w:eastAsia="標楷體" w:hAnsi="標楷體" w:hint="eastAsia"/>
          <w:kern w:val="0"/>
          <w:sz w:val="20"/>
        </w:rPr>
        <w:t>號函發布</w:t>
      </w:r>
    </w:p>
    <w:p w:rsidR="00024906" w:rsidRPr="00E4396B" w:rsidRDefault="00024906" w:rsidP="00024906">
      <w:pPr>
        <w:pStyle w:val="a3"/>
        <w:numPr>
          <w:ilvl w:val="0"/>
          <w:numId w:val="1"/>
        </w:numPr>
        <w:ind w:leftChars="0"/>
        <w:rPr>
          <w:rFonts w:ascii="標楷體" w:eastAsia="標楷體" w:hAnsi="標楷體"/>
        </w:rPr>
      </w:pPr>
      <w:r w:rsidRPr="00E4396B">
        <w:rPr>
          <w:rFonts w:ascii="標楷體" w:eastAsia="標楷體" w:hAnsi="標楷體" w:hint="eastAsia"/>
        </w:rPr>
        <w:t>基本條件</w:t>
      </w:r>
    </w:p>
    <w:p w:rsidR="00024906" w:rsidRPr="00E4396B" w:rsidRDefault="00024906" w:rsidP="00024906">
      <w:pPr>
        <w:ind w:left="480"/>
        <w:rPr>
          <w:rFonts w:ascii="標楷體" w:eastAsia="標楷體" w:hAnsi="標楷體"/>
        </w:rPr>
      </w:pPr>
      <w:r>
        <w:rPr>
          <w:rFonts w:ascii="標楷體" w:eastAsia="標楷體" w:hAnsi="標楷體" w:hint="eastAsia"/>
        </w:rPr>
        <w:t>(一)</w:t>
      </w:r>
      <w:r w:rsidRPr="00E4396B">
        <w:rPr>
          <w:rFonts w:ascii="標楷體" w:eastAsia="標楷體" w:hAnsi="標楷體" w:hint="eastAsia"/>
        </w:rPr>
        <w:t>服務本校滿</w:t>
      </w:r>
      <w:r>
        <w:rPr>
          <w:rFonts w:ascii="標楷體" w:eastAsia="標楷體" w:hAnsi="標楷體" w:hint="eastAsia"/>
        </w:rPr>
        <w:t>2</w:t>
      </w:r>
      <w:r w:rsidRPr="00E4396B">
        <w:rPr>
          <w:rFonts w:ascii="標楷體" w:eastAsia="標楷體" w:hAnsi="標楷體" w:hint="eastAsia"/>
        </w:rPr>
        <w:t>年以上</w:t>
      </w:r>
      <w:r>
        <w:rPr>
          <w:rFonts w:ascii="標楷體" w:eastAsia="標楷體" w:hAnsi="標楷體" w:hint="eastAsia"/>
        </w:rPr>
        <w:t>，且每學期皆</w:t>
      </w:r>
      <w:r>
        <w:rPr>
          <w:rFonts w:ascii="標楷體" w:eastAsia="標楷體" w:hAnsi="標楷體"/>
        </w:rPr>
        <w:t>有</w:t>
      </w:r>
      <w:r>
        <w:rPr>
          <w:rFonts w:ascii="標楷體" w:eastAsia="標楷體" w:hAnsi="標楷體" w:hint="eastAsia"/>
        </w:rPr>
        <w:t>授課事實者。</w:t>
      </w:r>
    </w:p>
    <w:p w:rsidR="00024906" w:rsidRPr="00E4396B" w:rsidRDefault="00024906" w:rsidP="00024906">
      <w:pPr>
        <w:rPr>
          <w:rFonts w:ascii="標楷體" w:eastAsia="標楷體" w:hAnsi="標楷體"/>
        </w:rPr>
      </w:pPr>
      <w:r>
        <w:rPr>
          <w:rFonts w:ascii="標楷體" w:eastAsia="標楷體" w:hAnsi="標楷體" w:hint="eastAsia"/>
        </w:rPr>
        <w:t xml:space="preserve">    (二)</w:t>
      </w:r>
      <w:r w:rsidRPr="00E4396B">
        <w:rPr>
          <w:rFonts w:ascii="標楷體" w:eastAsia="標楷體" w:hAnsi="標楷體" w:hint="eastAsia"/>
        </w:rPr>
        <w:t>主要代表著作以本校名義發表者。</w:t>
      </w:r>
    </w:p>
    <w:p w:rsidR="00024906" w:rsidRPr="002E0431" w:rsidRDefault="00024906" w:rsidP="00024906">
      <w:pPr>
        <w:ind w:left="965" w:hangingChars="402" w:hanging="965"/>
        <w:rPr>
          <w:rFonts w:ascii="標楷體" w:eastAsia="標楷體" w:hAnsi="標楷體"/>
          <w:color w:val="000000" w:themeColor="text1"/>
        </w:rPr>
      </w:pPr>
      <w:r>
        <w:rPr>
          <w:rFonts w:ascii="標楷體" w:eastAsia="標楷體" w:hAnsi="標楷體" w:hint="eastAsia"/>
        </w:rPr>
        <w:t xml:space="preserve">   </w:t>
      </w:r>
      <w:r w:rsidRPr="002E0431">
        <w:rPr>
          <w:rFonts w:ascii="標楷體" w:eastAsia="標楷體" w:hAnsi="標楷體" w:hint="eastAsia"/>
          <w:color w:val="000000" w:themeColor="text1"/>
        </w:rPr>
        <w:t xml:space="preserve"> (三)升等前在本校曾主持或協同主持研究計畫或產學計畫至少1件以上，且合計金額須達100萬以上者。</w:t>
      </w:r>
    </w:p>
    <w:p w:rsidR="00024906" w:rsidRPr="002E0431" w:rsidRDefault="00024906" w:rsidP="00024906">
      <w:pPr>
        <w:rPr>
          <w:rFonts w:ascii="標楷體" w:eastAsia="標楷體" w:hAnsi="標楷體"/>
          <w:color w:val="000000" w:themeColor="text1"/>
        </w:rPr>
      </w:pPr>
      <w:r w:rsidRPr="002E0431">
        <w:rPr>
          <w:rFonts w:ascii="標楷體" w:eastAsia="標楷體" w:hAnsi="標楷體" w:hint="eastAsia"/>
          <w:color w:val="000000" w:themeColor="text1"/>
        </w:rPr>
        <w:t xml:space="preserve">    (四)具主治醫師資格，且臨床表現績優</w:t>
      </w:r>
      <w:r>
        <w:rPr>
          <w:rFonts w:ascii="標楷體" w:eastAsia="標楷體" w:hAnsi="標楷體" w:hint="eastAsia"/>
          <w:color w:val="000000" w:themeColor="text1"/>
        </w:rPr>
        <w:t>，</w:t>
      </w:r>
      <w:r>
        <w:rPr>
          <w:rFonts w:ascii="標楷體" w:eastAsia="標楷體" w:hAnsi="標楷體"/>
          <w:color w:val="000000" w:themeColor="text1"/>
        </w:rPr>
        <w:t>經附屬醫院或合作機構證明者</w:t>
      </w:r>
      <w:r w:rsidRPr="002E0431">
        <w:rPr>
          <w:rFonts w:ascii="標楷體" w:eastAsia="標楷體" w:hAnsi="標楷體" w:hint="eastAsia"/>
          <w:color w:val="000000" w:themeColor="text1"/>
        </w:rPr>
        <w:t>。</w:t>
      </w:r>
    </w:p>
    <w:p w:rsidR="00024906" w:rsidRPr="002E0431" w:rsidRDefault="00024906" w:rsidP="00024906">
      <w:pPr>
        <w:rPr>
          <w:rFonts w:ascii="標楷體" w:eastAsia="標楷體" w:hAnsi="標楷體"/>
          <w:color w:val="000000" w:themeColor="text1"/>
        </w:rPr>
      </w:pPr>
      <w:r w:rsidRPr="002E0431">
        <w:rPr>
          <w:rFonts w:ascii="標楷體" w:eastAsia="標楷體" w:hAnsi="標楷體" w:hint="eastAsia"/>
          <w:color w:val="000000" w:themeColor="text1"/>
        </w:rPr>
        <w:t>二、學術研究表現條件</w:t>
      </w:r>
    </w:p>
    <w:p w:rsidR="00024906" w:rsidRPr="002E0431" w:rsidRDefault="00024906" w:rsidP="00024906">
      <w:pPr>
        <w:pStyle w:val="a3"/>
        <w:ind w:leftChars="0"/>
        <w:rPr>
          <w:rFonts w:ascii="標楷體" w:eastAsia="標楷體" w:hAnsi="標楷體"/>
          <w:color w:val="000000" w:themeColor="text1"/>
        </w:rPr>
      </w:pPr>
      <w:r w:rsidRPr="002E0431">
        <w:rPr>
          <w:rFonts w:ascii="標楷體" w:eastAsia="標楷體" w:hAnsi="標楷體" w:hint="eastAsia"/>
          <w:color w:val="000000" w:themeColor="text1"/>
        </w:rPr>
        <w:t>(一)升等教授</w:t>
      </w:r>
    </w:p>
    <w:p w:rsidR="00024906" w:rsidRPr="002E0431" w:rsidRDefault="00024906" w:rsidP="00024906">
      <w:pPr>
        <w:pStyle w:val="a3"/>
        <w:ind w:leftChars="0" w:left="952"/>
        <w:rPr>
          <w:rFonts w:ascii="標楷體" w:eastAsia="標楷體" w:hAnsi="標楷體"/>
          <w:color w:val="000000" w:themeColor="text1"/>
        </w:rPr>
      </w:pPr>
      <w:r w:rsidRPr="002E0431">
        <w:rPr>
          <w:rFonts w:ascii="標楷體" w:eastAsia="標楷體" w:hAnsi="標楷體" w:hint="eastAsia"/>
          <w:color w:val="000000" w:themeColor="text1"/>
        </w:rPr>
        <w:t>五年內及前一等級至本次申請等級期間，以本校名義發表論文積分累計達2</w:t>
      </w:r>
      <w:r>
        <w:rPr>
          <w:rFonts w:ascii="標楷體" w:eastAsia="標楷體" w:hAnsi="標楷體"/>
          <w:color w:val="000000" w:themeColor="text1"/>
        </w:rPr>
        <w:t>5</w:t>
      </w:r>
      <w:r w:rsidRPr="002E0431">
        <w:rPr>
          <w:rFonts w:ascii="標楷體" w:eastAsia="標楷體" w:hAnsi="標楷體" w:hint="eastAsia"/>
          <w:color w:val="000000" w:themeColor="text1"/>
        </w:rPr>
        <w:t>分以上。</w:t>
      </w:r>
    </w:p>
    <w:p w:rsidR="00024906" w:rsidRPr="002E0431" w:rsidRDefault="00024906" w:rsidP="00024906">
      <w:pPr>
        <w:pStyle w:val="a3"/>
        <w:ind w:leftChars="0"/>
        <w:rPr>
          <w:rFonts w:ascii="標楷體" w:eastAsia="標楷體" w:hAnsi="標楷體"/>
          <w:color w:val="000000" w:themeColor="text1"/>
        </w:rPr>
      </w:pPr>
      <w:r w:rsidRPr="002E0431">
        <w:rPr>
          <w:rFonts w:ascii="標楷體" w:eastAsia="標楷體" w:hAnsi="標楷體" w:hint="eastAsia"/>
          <w:color w:val="000000" w:themeColor="text1"/>
        </w:rPr>
        <w:t>(二)升等副教授</w:t>
      </w:r>
    </w:p>
    <w:p w:rsidR="00024906" w:rsidRPr="002E0431" w:rsidRDefault="00024906" w:rsidP="00024906">
      <w:pPr>
        <w:pStyle w:val="a3"/>
        <w:ind w:leftChars="0" w:left="952"/>
        <w:rPr>
          <w:rFonts w:ascii="標楷體" w:eastAsia="標楷體" w:hAnsi="標楷體"/>
          <w:color w:val="000000" w:themeColor="text1"/>
        </w:rPr>
      </w:pPr>
      <w:r w:rsidRPr="002E0431">
        <w:rPr>
          <w:rFonts w:ascii="標楷體" w:eastAsia="標楷體" w:hAnsi="標楷體" w:hint="eastAsia"/>
          <w:color w:val="000000" w:themeColor="text1"/>
        </w:rPr>
        <w:t>五年內及前一等級至本次申請等級期間，以本校名義發表論文積分累計達</w:t>
      </w:r>
      <w:r>
        <w:rPr>
          <w:rFonts w:ascii="標楷體" w:eastAsia="標楷體" w:hAnsi="標楷體" w:hint="eastAsia"/>
          <w:color w:val="000000" w:themeColor="text1"/>
        </w:rPr>
        <w:t>20</w:t>
      </w:r>
      <w:r w:rsidRPr="002E0431">
        <w:rPr>
          <w:rFonts w:ascii="標楷體" w:eastAsia="標楷體" w:hAnsi="標楷體" w:hint="eastAsia"/>
          <w:color w:val="000000" w:themeColor="text1"/>
        </w:rPr>
        <w:t>分以上。</w:t>
      </w:r>
    </w:p>
    <w:p w:rsidR="00024906" w:rsidRPr="002E0431" w:rsidRDefault="00024906" w:rsidP="00024906">
      <w:pPr>
        <w:pStyle w:val="a3"/>
        <w:ind w:leftChars="0"/>
        <w:rPr>
          <w:rFonts w:ascii="標楷體" w:eastAsia="標楷體" w:hAnsi="標楷體"/>
          <w:color w:val="000000" w:themeColor="text1"/>
        </w:rPr>
      </w:pPr>
      <w:r w:rsidRPr="002E0431">
        <w:rPr>
          <w:rFonts w:ascii="標楷體" w:eastAsia="標楷體" w:hAnsi="標楷體" w:hint="eastAsia"/>
          <w:color w:val="000000" w:themeColor="text1"/>
        </w:rPr>
        <w:t>(三)升等助理教授</w:t>
      </w:r>
    </w:p>
    <w:p w:rsidR="00024906" w:rsidRPr="002E0431" w:rsidRDefault="00024906" w:rsidP="00024906">
      <w:pPr>
        <w:pStyle w:val="a3"/>
        <w:ind w:leftChars="0" w:left="952"/>
        <w:rPr>
          <w:rFonts w:ascii="標楷體" w:eastAsia="標楷體" w:hAnsi="標楷體"/>
          <w:color w:val="000000" w:themeColor="text1"/>
        </w:rPr>
      </w:pPr>
      <w:r w:rsidRPr="002E0431">
        <w:rPr>
          <w:rFonts w:ascii="標楷體" w:eastAsia="標楷體" w:hAnsi="標楷體" w:hint="eastAsia"/>
          <w:color w:val="000000" w:themeColor="text1"/>
        </w:rPr>
        <w:t>五年內及前一等級至本次申請等級期間，以本校名義發表論文積分累計達</w:t>
      </w:r>
      <w:r>
        <w:rPr>
          <w:rFonts w:ascii="標楷體" w:eastAsia="標楷體" w:hAnsi="標楷體" w:hint="eastAsia"/>
          <w:color w:val="000000" w:themeColor="text1"/>
        </w:rPr>
        <w:t>15</w:t>
      </w:r>
      <w:r w:rsidRPr="002E0431">
        <w:rPr>
          <w:rFonts w:ascii="標楷體" w:eastAsia="標楷體" w:hAnsi="標楷體" w:hint="eastAsia"/>
          <w:color w:val="000000" w:themeColor="text1"/>
        </w:rPr>
        <w:t>分以上。</w:t>
      </w:r>
    </w:p>
    <w:p w:rsidR="00024906" w:rsidRPr="002E0431" w:rsidRDefault="00024906" w:rsidP="00024906">
      <w:pPr>
        <w:pStyle w:val="a3"/>
        <w:ind w:leftChars="0"/>
        <w:rPr>
          <w:rFonts w:ascii="標楷體" w:eastAsia="標楷體" w:hAnsi="標楷體"/>
          <w:color w:val="000000" w:themeColor="text1"/>
        </w:rPr>
      </w:pPr>
      <w:r w:rsidRPr="002E0431">
        <w:rPr>
          <w:rFonts w:ascii="標楷體" w:eastAsia="標楷體" w:hAnsi="標楷體" w:hint="eastAsia"/>
          <w:color w:val="000000" w:themeColor="text1"/>
        </w:rPr>
        <w:t xml:space="preserve">   上述論文發表積分之計算方式如附件。</w:t>
      </w:r>
    </w:p>
    <w:p w:rsidR="00024906" w:rsidRPr="002E0431" w:rsidRDefault="00024906" w:rsidP="00024906">
      <w:pPr>
        <w:pStyle w:val="a3"/>
        <w:numPr>
          <w:ilvl w:val="0"/>
          <w:numId w:val="3"/>
        </w:numPr>
        <w:ind w:leftChars="0"/>
        <w:rPr>
          <w:rFonts w:ascii="標楷體" w:eastAsia="標楷體" w:hAnsi="標楷體"/>
          <w:color w:val="000000" w:themeColor="text1"/>
        </w:rPr>
      </w:pPr>
      <w:r w:rsidRPr="002E0431">
        <w:rPr>
          <w:rFonts w:ascii="標楷體" w:eastAsia="標楷體" w:hAnsi="標楷體" w:hint="eastAsia"/>
          <w:color w:val="000000" w:themeColor="text1"/>
        </w:rPr>
        <w:t>如無</w:t>
      </w:r>
      <w:r>
        <w:rPr>
          <w:rFonts w:ascii="標楷體" w:eastAsia="標楷體" w:hAnsi="標楷體" w:hint="eastAsia"/>
          <w:color w:val="000000" w:themeColor="text1"/>
        </w:rPr>
        <w:t>基</w:t>
      </w:r>
      <w:r>
        <w:rPr>
          <w:rFonts w:ascii="標楷體" w:eastAsia="標楷體" w:hAnsi="標楷體"/>
          <w:color w:val="000000" w:themeColor="text1"/>
        </w:rPr>
        <w:t>本條件一之</w:t>
      </w:r>
      <w:r>
        <w:rPr>
          <w:rFonts w:ascii="標楷體" w:eastAsia="標楷體" w:hAnsi="標楷體" w:hint="eastAsia"/>
          <w:color w:val="000000" w:themeColor="text1"/>
        </w:rPr>
        <w:t>(三)之</w:t>
      </w:r>
      <w:r w:rsidRPr="002E0431">
        <w:rPr>
          <w:rFonts w:ascii="標楷體" w:eastAsia="標楷體" w:hAnsi="標楷體" w:hint="eastAsia"/>
          <w:color w:val="000000" w:themeColor="text1"/>
        </w:rPr>
        <w:t>主持(或協同主持)研究計畫者，得以本校名義發表在附件所列積分6分之期刊(或專書)1篇(本)，或積分4分之期刊2篇抵之，抵用後不列入學術研究表現計分。</w:t>
      </w:r>
    </w:p>
    <w:p w:rsidR="00024906" w:rsidRPr="00986496" w:rsidRDefault="00024906" w:rsidP="00024906">
      <w:pPr>
        <w:pStyle w:val="a3"/>
        <w:numPr>
          <w:ilvl w:val="0"/>
          <w:numId w:val="3"/>
        </w:numPr>
        <w:ind w:leftChars="0"/>
        <w:rPr>
          <w:rFonts w:ascii="標楷體" w:eastAsia="標楷體" w:hAnsi="標楷體"/>
        </w:rPr>
      </w:pPr>
      <w:r w:rsidRPr="00986496">
        <w:rPr>
          <w:rFonts w:ascii="標楷體" w:eastAsia="標楷體" w:hAnsi="標楷體" w:hint="eastAsia"/>
        </w:rPr>
        <w:t>升等程序及標準：</w:t>
      </w:r>
    </w:p>
    <w:p w:rsidR="00024906" w:rsidRPr="00986496" w:rsidRDefault="00024906" w:rsidP="00024906">
      <w:pPr>
        <w:spacing w:line="276" w:lineRule="auto"/>
        <w:ind w:left="475" w:hangingChars="198" w:hanging="475"/>
        <w:rPr>
          <w:rFonts w:ascii="標楷體" w:eastAsia="標楷體" w:hAnsi="標楷體"/>
          <w:kern w:val="0"/>
        </w:rPr>
      </w:pPr>
      <w:r w:rsidRPr="00986496">
        <w:rPr>
          <w:rFonts w:ascii="標楷體" w:eastAsia="標楷體" w:hAnsi="標楷體" w:hint="eastAsia"/>
          <w:kern w:val="16"/>
        </w:rPr>
        <w:t xml:space="preserve">    教師升等每學年辦理一次，其升等生效日期為</w:t>
      </w:r>
      <w:r w:rsidRPr="00986496">
        <w:rPr>
          <w:rFonts w:ascii="標楷體" w:eastAsia="標楷體" w:hAnsi="標楷體" w:cs="細明體" w:hint="eastAsia"/>
          <w:kern w:val="0"/>
        </w:rPr>
        <w:t>次一學年起始日(八月一日)，教師升等</w:t>
      </w:r>
      <w:r w:rsidRPr="00986496">
        <w:rPr>
          <w:rFonts w:ascii="標楷體" w:eastAsia="標楷體" w:hAnsi="標楷體" w:hint="eastAsia"/>
          <w:kern w:val="16"/>
        </w:rPr>
        <w:t>評審程序如下：</w:t>
      </w:r>
    </w:p>
    <w:p w:rsidR="00024906" w:rsidRPr="00986496" w:rsidRDefault="00024906" w:rsidP="00024906">
      <w:pPr>
        <w:numPr>
          <w:ilvl w:val="0"/>
          <w:numId w:val="4"/>
        </w:numPr>
        <w:tabs>
          <w:tab w:val="left" w:pos="490"/>
          <w:tab w:val="left" w:pos="1057"/>
        </w:tabs>
        <w:spacing w:line="276" w:lineRule="auto"/>
        <w:rPr>
          <w:rFonts w:ascii="標楷體" w:eastAsia="標楷體" w:hAnsi="標楷體"/>
          <w:kern w:val="0"/>
        </w:rPr>
      </w:pPr>
      <w:r w:rsidRPr="00986496">
        <w:rPr>
          <w:rFonts w:ascii="標楷體" w:eastAsia="標楷體" w:hAnsi="標楷體" w:hint="eastAsia"/>
          <w:kern w:val="0"/>
        </w:rPr>
        <w:t>初審：</w:t>
      </w:r>
      <w:r w:rsidRPr="00986496">
        <w:rPr>
          <w:rFonts w:ascii="標楷體" w:eastAsia="標楷體" w:hAnsi="標楷體" w:cs="細明體" w:hint="eastAsia"/>
          <w:kern w:val="0"/>
        </w:rPr>
        <w:t>申請人</w:t>
      </w:r>
      <w:r w:rsidRPr="00986496">
        <w:rPr>
          <w:rFonts w:ascii="標楷體" w:eastAsia="標楷體" w:hAnsi="標楷體" w:hint="eastAsia"/>
          <w:kern w:val="0"/>
        </w:rPr>
        <w:t>須於每年二月底前將著作及相關表件向系、通識教育中心提出申請升等，由系、通識教育中心教師評審委員會就申請人基本條件及學術研究表現辦理初審。</w:t>
      </w:r>
      <w:r w:rsidRPr="00986496">
        <w:rPr>
          <w:rFonts w:ascii="標楷體" w:eastAsia="標楷體" w:hAnsi="標楷體" w:cs="細明體" w:hint="eastAsia"/>
          <w:kern w:val="0"/>
        </w:rPr>
        <w:t>審查</w:t>
      </w:r>
      <w:r w:rsidRPr="00986496">
        <w:rPr>
          <w:rFonts w:ascii="標楷體" w:eastAsia="標楷體" w:hAnsi="標楷體" w:hint="eastAsia"/>
          <w:kern w:val="0"/>
        </w:rPr>
        <w:t>通過後，提請院</w:t>
      </w:r>
      <w:r w:rsidRPr="00986496">
        <w:rPr>
          <w:rFonts w:ascii="標楷體" w:eastAsia="標楷體" w:hAnsi="標楷體" w:cs="細明體" w:hint="eastAsia"/>
          <w:kern w:val="0"/>
        </w:rPr>
        <w:t>級</w:t>
      </w:r>
      <w:r w:rsidRPr="00986496">
        <w:rPr>
          <w:rFonts w:ascii="標楷體" w:eastAsia="標楷體" w:hAnsi="標楷體" w:hint="eastAsia"/>
          <w:kern w:val="0"/>
        </w:rPr>
        <w:t>評審委員會</w:t>
      </w:r>
      <w:r w:rsidRPr="00986496">
        <w:rPr>
          <w:rFonts w:ascii="標楷體" w:eastAsia="標楷體" w:hAnsi="標楷體" w:cs="細明體" w:hint="eastAsia"/>
          <w:kern w:val="0"/>
        </w:rPr>
        <w:t>進行</w:t>
      </w:r>
      <w:r w:rsidRPr="00986496">
        <w:rPr>
          <w:rFonts w:ascii="標楷體" w:eastAsia="標楷體" w:hAnsi="標楷體" w:hint="eastAsia"/>
          <w:kern w:val="0"/>
        </w:rPr>
        <w:t>複審。</w:t>
      </w:r>
    </w:p>
    <w:p w:rsidR="00024906" w:rsidRPr="00986496" w:rsidRDefault="00024906" w:rsidP="00024906">
      <w:pPr>
        <w:pStyle w:val="a3"/>
        <w:numPr>
          <w:ilvl w:val="0"/>
          <w:numId w:val="4"/>
        </w:numPr>
        <w:tabs>
          <w:tab w:val="left" w:pos="490"/>
          <w:tab w:val="left" w:pos="1057"/>
        </w:tabs>
        <w:spacing w:line="276" w:lineRule="auto"/>
        <w:ind w:leftChars="0"/>
        <w:rPr>
          <w:rFonts w:ascii="標楷體" w:eastAsia="標楷體" w:hAnsi="標楷體"/>
          <w:kern w:val="0"/>
        </w:rPr>
      </w:pPr>
      <w:r w:rsidRPr="00986496">
        <w:rPr>
          <w:rFonts w:ascii="標楷體" w:eastAsia="標楷體" w:hAnsi="標楷體" w:hint="eastAsia"/>
          <w:kern w:val="0"/>
        </w:rPr>
        <w:t>複審：院</w:t>
      </w:r>
      <w:r w:rsidRPr="00986496">
        <w:rPr>
          <w:rFonts w:ascii="標楷體" w:eastAsia="標楷體" w:hAnsi="標楷體" w:cs="細明體" w:hint="eastAsia"/>
          <w:kern w:val="0"/>
        </w:rPr>
        <w:t>級</w:t>
      </w:r>
      <w:r w:rsidRPr="00986496">
        <w:rPr>
          <w:rFonts w:ascii="標楷體" w:eastAsia="標楷體" w:hAnsi="標楷體" w:hint="eastAsia"/>
          <w:kern w:val="0"/>
        </w:rPr>
        <w:t>教師評審委員會就申請人基本條件及學術研究表現辦理初審。</w:t>
      </w:r>
      <w:r w:rsidRPr="00986496">
        <w:rPr>
          <w:rFonts w:ascii="標楷體" w:eastAsia="標楷體" w:hAnsi="標楷體" w:cs="細明體" w:hint="eastAsia"/>
          <w:kern w:val="0"/>
        </w:rPr>
        <w:t>審查</w:t>
      </w:r>
      <w:r w:rsidRPr="00986496">
        <w:rPr>
          <w:rFonts w:ascii="標楷體" w:eastAsia="標楷體" w:hAnsi="標楷體" w:hint="eastAsia"/>
          <w:kern w:val="0"/>
        </w:rPr>
        <w:t>通過後，提請校教師評審委員會辦理外審。</w:t>
      </w:r>
    </w:p>
    <w:p w:rsidR="00024906" w:rsidRPr="00986496" w:rsidRDefault="00024906" w:rsidP="00024906">
      <w:pPr>
        <w:pStyle w:val="a3"/>
        <w:numPr>
          <w:ilvl w:val="0"/>
          <w:numId w:val="4"/>
        </w:numPr>
        <w:tabs>
          <w:tab w:val="left" w:pos="490"/>
          <w:tab w:val="left" w:pos="1057"/>
        </w:tabs>
        <w:spacing w:line="276" w:lineRule="auto"/>
        <w:ind w:leftChars="0"/>
        <w:rPr>
          <w:rFonts w:ascii="標楷體" w:eastAsia="標楷體" w:hAnsi="標楷體"/>
          <w:kern w:val="0"/>
        </w:rPr>
      </w:pPr>
      <w:r w:rsidRPr="00986496">
        <w:rPr>
          <w:rFonts w:ascii="標楷體" w:eastAsia="標楷體" w:hAnsi="標楷體" w:hint="eastAsia"/>
          <w:kern w:val="0"/>
        </w:rPr>
        <w:t>決審：校教師評審委員會將申請人之代表作及參考作，送校外學者專家五人審查；審查</w:t>
      </w:r>
      <w:r w:rsidRPr="00986496">
        <w:rPr>
          <w:rFonts w:ascii="標楷體" w:eastAsia="標楷體" w:hAnsi="標楷體" w:cs="細明體" w:hint="eastAsia"/>
          <w:kern w:val="0"/>
        </w:rPr>
        <w:t>委員有二位以上所評定之成績未達以下標準：升等</w:t>
      </w:r>
      <w:r w:rsidRPr="00986496">
        <w:rPr>
          <w:rFonts w:ascii="標楷體" w:eastAsia="標楷體" w:hAnsi="標楷體" w:cs="細明體" w:hint="eastAsia"/>
          <w:kern w:val="0"/>
        </w:rPr>
        <w:lastRenderedPageBreak/>
        <w:t>助理教授七十五分；升等副教授八十分；升等教授八十五分，即為不通過。</w:t>
      </w:r>
      <w:r w:rsidRPr="00986496">
        <w:rPr>
          <w:rFonts w:ascii="標楷體" w:eastAsia="標楷體" w:hAnsi="標楷體" w:hint="eastAsia"/>
          <w:kern w:val="0"/>
        </w:rPr>
        <w:t>校外學者專家將外審結果送回後，召開</w:t>
      </w:r>
      <w:r w:rsidRPr="00986496">
        <w:rPr>
          <w:rFonts w:ascii="標楷體" w:eastAsia="標楷體" w:hAnsi="標楷體" w:cs="Arial" w:hint="eastAsia"/>
          <w:kern w:val="0"/>
        </w:rPr>
        <w:t>校教師評審委員會確認外審成績</w:t>
      </w:r>
      <w:r w:rsidRPr="00986496">
        <w:rPr>
          <w:rFonts w:ascii="標楷體" w:eastAsia="標楷體" w:hAnsi="標楷體" w:cs="細明體" w:hint="eastAsia"/>
          <w:kern w:val="0"/>
        </w:rPr>
        <w:t>及審查意見進行投票表決，通過後陳報校長核定，報部申請教師證書。</w:t>
      </w:r>
    </w:p>
    <w:p w:rsidR="00024906" w:rsidRPr="00986496" w:rsidRDefault="00024906" w:rsidP="00024906">
      <w:pPr>
        <w:tabs>
          <w:tab w:val="left" w:pos="1057"/>
        </w:tabs>
        <w:rPr>
          <w:rFonts w:ascii="標楷體" w:eastAsia="標楷體" w:hAnsi="標楷體" w:cs="細明體"/>
          <w:kern w:val="0"/>
        </w:rPr>
      </w:pPr>
      <w:r w:rsidRPr="00986496">
        <w:rPr>
          <w:rFonts w:ascii="標楷體" w:eastAsia="標楷體" w:hAnsi="標楷體" w:cs="細明體" w:hint="eastAsia"/>
          <w:kern w:val="0"/>
        </w:rPr>
        <w:t>五、本</w:t>
      </w:r>
      <w:r w:rsidRPr="00986496">
        <w:rPr>
          <w:rFonts w:ascii="標楷體" w:eastAsia="標楷體" w:hAnsi="標楷體" w:hint="eastAsia"/>
        </w:rPr>
        <w:t>標準</w:t>
      </w:r>
      <w:r w:rsidRPr="00986496">
        <w:rPr>
          <w:rFonts w:ascii="標楷體" w:eastAsia="標楷體" w:hAnsi="標楷體" w:cs="細明體" w:hint="eastAsia"/>
          <w:kern w:val="0"/>
        </w:rPr>
        <w:t>未盡事宜，依相關規定辦理。</w:t>
      </w:r>
    </w:p>
    <w:p w:rsidR="00024906" w:rsidRPr="00986496" w:rsidRDefault="00024906" w:rsidP="00024906">
      <w:pPr>
        <w:tabs>
          <w:tab w:val="left" w:pos="1057"/>
        </w:tabs>
        <w:rPr>
          <w:rFonts w:ascii="標楷體" w:eastAsia="標楷體" w:hAnsi="標楷體"/>
        </w:rPr>
      </w:pPr>
      <w:r w:rsidRPr="00986496">
        <w:rPr>
          <w:rFonts w:ascii="標楷體" w:eastAsia="標楷體" w:hAnsi="標楷體" w:cs="細明體" w:hint="eastAsia"/>
          <w:kern w:val="0"/>
        </w:rPr>
        <w:t>六、</w:t>
      </w:r>
      <w:r w:rsidRPr="00986496">
        <w:rPr>
          <w:rFonts w:ascii="標楷體" w:eastAsia="標楷體" w:hAnsi="標楷體" w:hint="eastAsia"/>
        </w:rPr>
        <w:t>本標準經校務會議通過，陳請校長核定實施，修正時亦同。</w:t>
      </w:r>
    </w:p>
    <w:p w:rsidR="00024906" w:rsidRPr="00986496" w:rsidRDefault="00024906" w:rsidP="00024906">
      <w:pPr>
        <w:rPr>
          <w:rFonts w:ascii="標楷體" w:eastAsia="標楷體" w:hAnsi="標楷體"/>
        </w:rPr>
      </w:pPr>
    </w:p>
    <w:p w:rsidR="00024906" w:rsidRPr="00986496" w:rsidRDefault="00024906" w:rsidP="00024906">
      <w:pPr>
        <w:rPr>
          <w:rFonts w:ascii="標楷體" w:eastAsia="標楷體" w:hAnsi="標楷體"/>
        </w:rPr>
      </w:pPr>
      <w:r w:rsidRPr="00986496">
        <w:rPr>
          <w:rFonts w:ascii="標楷體" w:eastAsia="標楷體" w:hAnsi="標楷體" w:hint="eastAsia"/>
        </w:rPr>
        <w:t>附件</w:t>
      </w:r>
    </w:p>
    <w:p w:rsidR="00024906" w:rsidRPr="002E0431" w:rsidRDefault="00024906" w:rsidP="00024906">
      <w:pPr>
        <w:rPr>
          <w:rFonts w:ascii="標楷體" w:eastAsia="標楷體" w:hAnsi="標楷體"/>
          <w:color w:val="000000" w:themeColor="text1"/>
        </w:rPr>
      </w:pPr>
      <w:r w:rsidRPr="00986496">
        <w:rPr>
          <w:rFonts w:ascii="標楷體" w:eastAsia="標楷體" w:hAnsi="標楷體" w:hint="eastAsia"/>
        </w:rPr>
        <w:t>備註一：前一等級五年內至本次申請等級期間，論文發表累計積分之計算方式</w:t>
      </w:r>
      <w:r w:rsidRPr="002E0431">
        <w:rPr>
          <w:rFonts w:ascii="標楷體" w:eastAsia="標楷體" w:hAnsi="標楷體" w:hint="eastAsia"/>
          <w:color w:val="000000" w:themeColor="text1"/>
        </w:rPr>
        <w:t>如下：</w:t>
      </w:r>
    </w:p>
    <w:tbl>
      <w:tblPr>
        <w:tblW w:w="909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30"/>
        <w:gridCol w:w="765"/>
      </w:tblGrid>
      <w:tr w:rsidR="00024906" w:rsidRPr="002E0431" w:rsidTr="00E91410">
        <w:trPr>
          <w:trHeight w:val="361"/>
          <w:jc w:val="center"/>
        </w:trPr>
        <w:tc>
          <w:tcPr>
            <w:tcW w:w="8330" w:type="dxa"/>
            <w:tcBorders>
              <w:top w:val="single" w:sz="12" w:space="0" w:color="auto"/>
              <w:left w:val="single" w:sz="12" w:space="0" w:color="auto"/>
              <w:bottom w:val="single" w:sz="12"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排名</w:t>
            </w:r>
          </w:p>
        </w:tc>
        <w:tc>
          <w:tcPr>
            <w:tcW w:w="765" w:type="dxa"/>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jc w:val="center"/>
              <w:rPr>
                <w:rFonts w:ascii="標楷體" w:eastAsia="標楷體" w:hAnsi="標楷體"/>
                <w:color w:val="000000" w:themeColor="text1"/>
              </w:rPr>
            </w:pPr>
            <w:r w:rsidRPr="002E0431">
              <w:rPr>
                <w:rFonts w:ascii="標楷體" w:eastAsia="標楷體" w:hAnsi="標楷體" w:hint="eastAsia"/>
                <w:color w:val="000000" w:themeColor="text1"/>
              </w:rPr>
              <w:t>積分</w:t>
            </w:r>
          </w:p>
        </w:tc>
      </w:tr>
      <w:tr w:rsidR="00024906" w:rsidRPr="002E0431" w:rsidTr="00E91410">
        <w:trPr>
          <w:trHeight w:val="352"/>
          <w:jc w:val="center"/>
        </w:trPr>
        <w:tc>
          <w:tcPr>
            <w:tcW w:w="8330" w:type="dxa"/>
            <w:tcBorders>
              <w:top w:val="single" w:sz="12" w:space="0" w:color="auto"/>
              <w:left w:val="single" w:sz="12" w:space="0" w:color="auto"/>
              <w:bottom w:val="single" w:sz="6"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SCI期刊論文 Impact factor 之總排名或各類領域排名在前10% (包括10%)</w:t>
            </w:r>
          </w:p>
        </w:tc>
        <w:tc>
          <w:tcPr>
            <w:tcW w:w="765" w:type="dxa"/>
            <w:vMerge w:val="restart"/>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jc w:val="center"/>
              <w:rPr>
                <w:rFonts w:ascii="標楷體" w:eastAsia="標楷體" w:hAnsi="標楷體"/>
                <w:color w:val="000000" w:themeColor="text1"/>
              </w:rPr>
            </w:pPr>
            <w:r w:rsidRPr="002E0431">
              <w:rPr>
                <w:rFonts w:ascii="標楷體" w:eastAsia="標楷體" w:hAnsi="標楷體" w:hint="eastAsia"/>
                <w:color w:val="000000" w:themeColor="text1"/>
              </w:rPr>
              <w:t>6</w:t>
            </w:r>
          </w:p>
        </w:tc>
      </w:tr>
      <w:tr w:rsidR="00024906" w:rsidRPr="002E0431" w:rsidTr="00E91410">
        <w:trPr>
          <w:trHeight w:val="343"/>
          <w:jc w:val="center"/>
        </w:trPr>
        <w:tc>
          <w:tcPr>
            <w:tcW w:w="8330" w:type="dxa"/>
            <w:tcBorders>
              <w:top w:val="single" w:sz="6" w:space="0" w:color="auto"/>
              <w:left w:val="single" w:sz="12" w:space="0" w:color="auto"/>
              <w:bottom w:val="single" w:sz="6"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SSCI或AHCI期刊論文在期刊排名前 10% (包括10%)</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widowControl/>
              <w:rPr>
                <w:rFonts w:ascii="標楷體" w:eastAsia="標楷體" w:hAnsi="標楷體"/>
                <w:color w:val="000000" w:themeColor="text1"/>
              </w:rPr>
            </w:pPr>
          </w:p>
        </w:tc>
      </w:tr>
      <w:tr w:rsidR="00024906" w:rsidRPr="002E0431" w:rsidTr="00E91410">
        <w:trPr>
          <w:trHeight w:val="352"/>
          <w:jc w:val="center"/>
        </w:trPr>
        <w:tc>
          <w:tcPr>
            <w:tcW w:w="8330" w:type="dxa"/>
            <w:tcBorders>
              <w:top w:val="single" w:sz="6" w:space="0" w:color="auto"/>
              <w:left w:val="single" w:sz="12" w:space="0" w:color="auto"/>
              <w:bottom w:val="single" w:sz="12"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 xml:space="preserve">有審查制度之專書且已出版在國際著名出版社 </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widowControl/>
              <w:rPr>
                <w:rFonts w:ascii="標楷體" w:eastAsia="標楷體" w:hAnsi="標楷體"/>
                <w:color w:val="000000" w:themeColor="text1"/>
              </w:rPr>
            </w:pPr>
          </w:p>
        </w:tc>
      </w:tr>
      <w:tr w:rsidR="00024906" w:rsidRPr="002E0431" w:rsidTr="00E91410">
        <w:trPr>
          <w:trHeight w:val="343"/>
          <w:jc w:val="center"/>
        </w:trPr>
        <w:tc>
          <w:tcPr>
            <w:tcW w:w="8330" w:type="dxa"/>
            <w:tcBorders>
              <w:top w:val="single" w:sz="12" w:space="0" w:color="auto"/>
              <w:left w:val="single" w:sz="12" w:space="0" w:color="auto"/>
              <w:bottom w:val="single" w:sz="6"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SCI期刊論文 Impact factor之總排名或各類領域排名在前20% (包括20%)</w:t>
            </w:r>
          </w:p>
        </w:tc>
        <w:tc>
          <w:tcPr>
            <w:tcW w:w="765" w:type="dxa"/>
            <w:vMerge w:val="restart"/>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jc w:val="center"/>
              <w:rPr>
                <w:rFonts w:ascii="標楷體" w:eastAsia="標楷體" w:hAnsi="標楷體"/>
                <w:color w:val="000000" w:themeColor="text1"/>
              </w:rPr>
            </w:pPr>
            <w:r w:rsidRPr="002E0431">
              <w:rPr>
                <w:rFonts w:ascii="標楷體" w:eastAsia="標楷體" w:hAnsi="標楷體" w:hint="eastAsia"/>
                <w:color w:val="000000" w:themeColor="text1"/>
              </w:rPr>
              <w:t>4</w:t>
            </w:r>
          </w:p>
        </w:tc>
      </w:tr>
      <w:tr w:rsidR="00024906" w:rsidRPr="002E0431" w:rsidTr="00E91410">
        <w:trPr>
          <w:trHeight w:val="352"/>
          <w:jc w:val="center"/>
        </w:trPr>
        <w:tc>
          <w:tcPr>
            <w:tcW w:w="8330" w:type="dxa"/>
            <w:tcBorders>
              <w:top w:val="single" w:sz="6" w:space="0" w:color="auto"/>
              <w:left w:val="single" w:sz="12" w:space="0" w:color="auto"/>
              <w:bottom w:val="single" w:sz="12"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SSCI或AHCI期刊論文在期刊排名前 20% (包括20%)</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widowControl/>
              <w:rPr>
                <w:rFonts w:ascii="標楷體" w:eastAsia="標楷體" w:hAnsi="標楷體"/>
                <w:color w:val="000000" w:themeColor="text1"/>
              </w:rPr>
            </w:pPr>
          </w:p>
        </w:tc>
      </w:tr>
      <w:tr w:rsidR="00024906" w:rsidRPr="002E0431" w:rsidTr="00E91410">
        <w:trPr>
          <w:trHeight w:val="343"/>
          <w:jc w:val="center"/>
        </w:trPr>
        <w:tc>
          <w:tcPr>
            <w:tcW w:w="8330" w:type="dxa"/>
            <w:tcBorders>
              <w:top w:val="single" w:sz="12" w:space="0" w:color="auto"/>
              <w:left w:val="single" w:sz="12" w:space="0" w:color="auto"/>
              <w:bottom w:val="single" w:sz="6"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SCI期刊論文 Impact factor之總排名或各類領域排名在前40% (包括40%)</w:t>
            </w:r>
          </w:p>
        </w:tc>
        <w:tc>
          <w:tcPr>
            <w:tcW w:w="765" w:type="dxa"/>
            <w:vMerge w:val="restart"/>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jc w:val="center"/>
              <w:rPr>
                <w:rFonts w:ascii="標楷體" w:eastAsia="標楷體" w:hAnsi="標楷體"/>
                <w:color w:val="000000" w:themeColor="text1"/>
              </w:rPr>
            </w:pPr>
            <w:r w:rsidRPr="002E0431">
              <w:rPr>
                <w:rFonts w:ascii="標楷體" w:eastAsia="標楷體" w:hAnsi="標楷體" w:hint="eastAsia"/>
                <w:color w:val="000000" w:themeColor="text1"/>
              </w:rPr>
              <w:t>3</w:t>
            </w:r>
          </w:p>
        </w:tc>
      </w:tr>
      <w:tr w:rsidR="00024906" w:rsidRPr="002E0431" w:rsidTr="00E91410">
        <w:trPr>
          <w:trHeight w:val="352"/>
          <w:jc w:val="center"/>
        </w:trPr>
        <w:tc>
          <w:tcPr>
            <w:tcW w:w="8330" w:type="dxa"/>
            <w:tcBorders>
              <w:top w:val="single" w:sz="6" w:space="0" w:color="auto"/>
              <w:left w:val="single" w:sz="12" w:space="0" w:color="auto"/>
              <w:bottom w:val="single" w:sz="4"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SSCI或AHCI期刊論文在期刊排名前 40% (包括40%)</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widowControl/>
              <w:rPr>
                <w:rFonts w:ascii="標楷體" w:eastAsia="標楷體" w:hAnsi="標楷體"/>
                <w:color w:val="000000" w:themeColor="text1"/>
              </w:rPr>
            </w:pPr>
          </w:p>
        </w:tc>
      </w:tr>
      <w:tr w:rsidR="00024906" w:rsidRPr="002E0431" w:rsidTr="00E91410">
        <w:trPr>
          <w:trHeight w:val="343"/>
          <w:jc w:val="center"/>
        </w:trPr>
        <w:tc>
          <w:tcPr>
            <w:tcW w:w="8330" w:type="dxa"/>
            <w:tcBorders>
              <w:top w:val="single" w:sz="4" w:space="0" w:color="auto"/>
              <w:left w:val="single" w:sz="12" w:space="0" w:color="auto"/>
              <w:bottom w:val="single" w:sz="12" w:space="0" w:color="auto"/>
              <w:right w:val="single" w:sz="12" w:space="0" w:color="auto"/>
            </w:tcBorders>
            <w:hideMark/>
          </w:tcPr>
          <w:p w:rsidR="00024906" w:rsidRPr="002E0431" w:rsidRDefault="00024906" w:rsidP="00E91410">
            <w:pPr>
              <w:rPr>
                <w:rFonts w:ascii="標楷體" w:eastAsia="標楷體" w:hAnsi="標楷體"/>
                <w:color w:val="000000" w:themeColor="text1"/>
              </w:rPr>
            </w:pPr>
            <w:r w:rsidRPr="002E0431">
              <w:rPr>
                <w:rFonts w:ascii="標楷體" w:eastAsia="標楷體" w:hAnsi="標楷體" w:hint="eastAsia"/>
                <w:color w:val="000000" w:themeColor="text1"/>
              </w:rPr>
              <w:t>有審查制度之專書且已出版在國內知名出版社</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024906" w:rsidRPr="002E0431" w:rsidRDefault="00024906" w:rsidP="00E91410">
            <w:pPr>
              <w:widowControl/>
              <w:rPr>
                <w:rFonts w:ascii="標楷體" w:eastAsia="標楷體" w:hAnsi="標楷體"/>
                <w:color w:val="000000" w:themeColor="text1"/>
              </w:rPr>
            </w:pPr>
          </w:p>
        </w:tc>
      </w:tr>
      <w:tr w:rsidR="00024906" w:rsidRPr="00E4396B" w:rsidTr="00E91410">
        <w:trPr>
          <w:trHeight w:val="352"/>
          <w:jc w:val="center"/>
        </w:trPr>
        <w:tc>
          <w:tcPr>
            <w:tcW w:w="8330" w:type="dxa"/>
            <w:tcBorders>
              <w:top w:val="single" w:sz="12" w:space="0" w:color="auto"/>
              <w:left w:val="single" w:sz="12" w:space="0" w:color="auto"/>
              <w:bottom w:val="single" w:sz="6" w:space="0" w:color="auto"/>
              <w:right w:val="single" w:sz="12" w:space="0" w:color="auto"/>
            </w:tcBorders>
            <w:hideMark/>
          </w:tcPr>
          <w:p w:rsidR="00024906" w:rsidRPr="00E4396B" w:rsidRDefault="00024906" w:rsidP="00E91410">
            <w:pPr>
              <w:rPr>
                <w:rFonts w:ascii="標楷體" w:eastAsia="標楷體" w:hAnsi="標楷體"/>
              </w:rPr>
            </w:pPr>
            <w:r w:rsidRPr="00E4396B">
              <w:rPr>
                <w:rFonts w:ascii="標楷體" w:eastAsia="標楷體" w:hAnsi="標楷體" w:hint="eastAsia"/>
              </w:rPr>
              <w:t>SCI期刊論文 Impact factor之總排名或各類領域排名在40%之後</w:t>
            </w:r>
          </w:p>
        </w:tc>
        <w:tc>
          <w:tcPr>
            <w:tcW w:w="765" w:type="dxa"/>
            <w:vMerge w:val="restart"/>
            <w:tcBorders>
              <w:top w:val="single" w:sz="12" w:space="0" w:color="auto"/>
              <w:left w:val="single" w:sz="12" w:space="0" w:color="auto"/>
              <w:right w:val="single" w:sz="12" w:space="0" w:color="auto"/>
            </w:tcBorders>
            <w:vAlign w:val="center"/>
            <w:hideMark/>
          </w:tcPr>
          <w:p w:rsidR="00024906" w:rsidRPr="00E4396B" w:rsidRDefault="00024906" w:rsidP="00E91410">
            <w:pPr>
              <w:jc w:val="center"/>
              <w:rPr>
                <w:rFonts w:ascii="標楷體" w:eastAsia="標楷體" w:hAnsi="標楷體"/>
              </w:rPr>
            </w:pPr>
            <w:r w:rsidRPr="00E4396B">
              <w:rPr>
                <w:rFonts w:ascii="標楷體" w:eastAsia="標楷體" w:hAnsi="標楷體" w:hint="eastAsia"/>
              </w:rPr>
              <w:t>2</w:t>
            </w:r>
          </w:p>
        </w:tc>
      </w:tr>
      <w:tr w:rsidR="00024906" w:rsidRPr="00E4396B" w:rsidTr="00E91410">
        <w:trPr>
          <w:trHeight w:val="343"/>
          <w:jc w:val="center"/>
        </w:trPr>
        <w:tc>
          <w:tcPr>
            <w:tcW w:w="8330" w:type="dxa"/>
            <w:tcBorders>
              <w:top w:val="single" w:sz="6" w:space="0" w:color="auto"/>
              <w:left w:val="single" w:sz="12" w:space="0" w:color="auto"/>
              <w:bottom w:val="single" w:sz="6" w:space="0" w:color="auto"/>
              <w:right w:val="single" w:sz="12" w:space="0" w:color="auto"/>
            </w:tcBorders>
            <w:hideMark/>
          </w:tcPr>
          <w:p w:rsidR="00024906" w:rsidRPr="00E4396B" w:rsidRDefault="00024906" w:rsidP="00E91410">
            <w:pPr>
              <w:rPr>
                <w:rFonts w:ascii="標楷體" w:eastAsia="標楷體" w:hAnsi="標楷體"/>
              </w:rPr>
            </w:pPr>
            <w:r w:rsidRPr="00E4396B">
              <w:rPr>
                <w:rFonts w:ascii="標楷體" w:eastAsia="標楷體" w:hAnsi="標楷體" w:hint="eastAsia"/>
              </w:rPr>
              <w:t>SSCI或AHCI期刊論文在期刊排名在 40% 之後</w:t>
            </w:r>
          </w:p>
        </w:tc>
        <w:tc>
          <w:tcPr>
            <w:tcW w:w="0" w:type="auto"/>
            <w:vMerge/>
            <w:tcBorders>
              <w:left w:val="single" w:sz="12" w:space="0" w:color="auto"/>
              <w:right w:val="single" w:sz="12" w:space="0" w:color="auto"/>
            </w:tcBorders>
            <w:vAlign w:val="center"/>
            <w:hideMark/>
          </w:tcPr>
          <w:p w:rsidR="00024906" w:rsidRPr="00E4396B" w:rsidRDefault="00024906" w:rsidP="00E91410">
            <w:pPr>
              <w:widowControl/>
              <w:rPr>
                <w:rFonts w:ascii="標楷體" w:eastAsia="標楷體" w:hAnsi="標楷體"/>
              </w:rPr>
            </w:pPr>
          </w:p>
        </w:tc>
      </w:tr>
      <w:tr w:rsidR="00024906" w:rsidRPr="00E4396B" w:rsidTr="00E91410">
        <w:trPr>
          <w:trHeight w:val="352"/>
          <w:jc w:val="center"/>
        </w:trPr>
        <w:tc>
          <w:tcPr>
            <w:tcW w:w="8330" w:type="dxa"/>
            <w:tcBorders>
              <w:top w:val="single" w:sz="6" w:space="0" w:color="auto"/>
              <w:left w:val="single" w:sz="12" w:space="0" w:color="auto"/>
              <w:bottom w:val="single" w:sz="6" w:space="0" w:color="auto"/>
              <w:right w:val="single" w:sz="12" w:space="0" w:color="auto"/>
            </w:tcBorders>
            <w:hideMark/>
          </w:tcPr>
          <w:p w:rsidR="00024906" w:rsidRPr="00E4396B" w:rsidRDefault="00024906" w:rsidP="00E91410">
            <w:pPr>
              <w:rPr>
                <w:rFonts w:ascii="標楷體" w:eastAsia="標楷體" w:hAnsi="標楷體"/>
              </w:rPr>
            </w:pPr>
            <w:r w:rsidRPr="00E4396B">
              <w:rPr>
                <w:rFonts w:ascii="標楷體" w:eastAsia="標楷體" w:hAnsi="標楷體" w:hint="eastAsia"/>
              </w:rPr>
              <w:t>EI index Journal</w:t>
            </w:r>
          </w:p>
        </w:tc>
        <w:tc>
          <w:tcPr>
            <w:tcW w:w="0" w:type="auto"/>
            <w:vMerge/>
            <w:tcBorders>
              <w:left w:val="single" w:sz="12" w:space="0" w:color="auto"/>
              <w:right w:val="single" w:sz="12" w:space="0" w:color="auto"/>
            </w:tcBorders>
            <w:vAlign w:val="center"/>
            <w:hideMark/>
          </w:tcPr>
          <w:p w:rsidR="00024906" w:rsidRPr="00E4396B" w:rsidRDefault="00024906" w:rsidP="00E91410">
            <w:pPr>
              <w:widowControl/>
              <w:rPr>
                <w:rFonts w:ascii="標楷體" w:eastAsia="標楷體" w:hAnsi="標楷體"/>
              </w:rPr>
            </w:pPr>
          </w:p>
        </w:tc>
      </w:tr>
      <w:tr w:rsidR="00024906" w:rsidRPr="00E4396B" w:rsidTr="00E91410">
        <w:trPr>
          <w:trHeight w:val="343"/>
          <w:jc w:val="center"/>
        </w:trPr>
        <w:tc>
          <w:tcPr>
            <w:tcW w:w="8330" w:type="dxa"/>
            <w:tcBorders>
              <w:top w:val="single" w:sz="6" w:space="0" w:color="auto"/>
              <w:left w:val="single" w:sz="12" w:space="0" w:color="auto"/>
              <w:bottom w:val="single" w:sz="4" w:space="0" w:color="auto"/>
              <w:right w:val="single" w:sz="12" w:space="0" w:color="auto"/>
            </w:tcBorders>
            <w:hideMark/>
          </w:tcPr>
          <w:p w:rsidR="00024906" w:rsidRPr="00E4396B" w:rsidRDefault="00024906" w:rsidP="00E91410">
            <w:pPr>
              <w:rPr>
                <w:rFonts w:ascii="標楷體" w:eastAsia="標楷體" w:hAnsi="標楷體"/>
              </w:rPr>
            </w:pPr>
            <w:r w:rsidRPr="00E4396B">
              <w:rPr>
                <w:rFonts w:ascii="標楷體" w:eastAsia="標楷體" w:hAnsi="標楷體" w:hint="eastAsia"/>
              </w:rPr>
              <w:t>TSSCI index Journal</w:t>
            </w:r>
          </w:p>
        </w:tc>
        <w:tc>
          <w:tcPr>
            <w:tcW w:w="0" w:type="auto"/>
            <w:vMerge/>
            <w:tcBorders>
              <w:left w:val="single" w:sz="12" w:space="0" w:color="auto"/>
              <w:right w:val="single" w:sz="12" w:space="0" w:color="auto"/>
            </w:tcBorders>
            <w:vAlign w:val="center"/>
            <w:hideMark/>
          </w:tcPr>
          <w:p w:rsidR="00024906" w:rsidRPr="00E4396B" w:rsidRDefault="00024906" w:rsidP="00E91410">
            <w:pPr>
              <w:widowControl/>
              <w:rPr>
                <w:rFonts w:ascii="標楷體" w:eastAsia="標楷體" w:hAnsi="標楷體"/>
              </w:rPr>
            </w:pPr>
          </w:p>
        </w:tc>
      </w:tr>
      <w:tr w:rsidR="00024906" w:rsidRPr="00E4396B" w:rsidTr="00E91410">
        <w:trPr>
          <w:trHeight w:val="343"/>
          <w:jc w:val="center"/>
        </w:trPr>
        <w:tc>
          <w:tcPr>
            <w:tcW w:w="8330" w:type="dxa"/>
            <w:tcBorders>
              <w:top w:val="single" w:sz="4" w:space="0" w:color="auto"/>
              <w:left w:val="single" w:sz="12" w:space="0" w:color="auto"/>
              <w:bottom w:val="single" w:sz="12" w:space="0" w:color="auto"/>
              <w:right w:val="single" w:sz="12" w:space="0" w:color="auto"/>
            </w:tcBorders>
          </w:tcPr>
          <w:p w:rsidR="00024906" w:rsidRPr="00E4396B" w:rsidRDefault="00024906" w:rsidP="00E91410">
            <w:pPr>
              <w:rPr>
                <w:rFonts w:ascii="標楷體" w:eastAsia="標楷體" w:hAnsi="標楷體"/>
              </w:rPr>
            </w:pPr>
            <w:r w:rsidRPr="00E4396B">
              <w:rPr>
                <w:rFonts w:ascii="標楷體" w:eastAsia="標楷體" w:hAnsi="標楷體" w:hint="eastAsia"/>
              </w:rPr>
              <w:t>THCI、</w:t>
            </w:r>
            <w:r w:rsidRPr="00E4396B">
              <w:rPr>
                <w:rFonts w:ascii="標楷體" w:eastAsia="標楷體" w:hAnsi="標楷體"/>
              </w:rPr>
              <w:t>THCI-core index Journal</w:t>
            </w:r>
          </w:p>
        </w:tc>
        <w:tc>
          <w:tcPr>
            <w:tcW w:w="0" w:type="auto"/>
            <w:vMerge/>
            <w:tcBorders>
              <w:left w:val="single" w:sz="12" w:space="0" w:color="auto"/>
              <w:bottom w:val="single" w:sz="12" w:space="0" w:color="auto"/>
              <w:right w:val="single" w:sz="12" w:space="0" w:color="auto"/>
            </w:tcBorders>
            <w:vAlign w:val="center"/>
          </w:tcPr>
          <w:p w:rsidR="00024906" w:rsidRPr="00E4396B" w:rsidRDefault="00024906" w:rsidP="00E91410">
            <w:pPr>
              <w:widowControl/>
              <w:rPr>
                <w:rFonts w:ascii="標楷體" w:eastAsia="標楷體" w:hAnsi="標楷體"/>
              </w:rPr>
            </w:pPr>
          </w:p>
        </w:tc>
      </w:tr>
      <w:tr w:rsidR="00024906" w:rsidRPr="00E4396B" w:rsidTr="00E91410">
        <w:trPr>
          <w:trHeight w:val="352"/>
          <w:jc w:val="center"/>
        </w:trPr>
        <w:tc>
          <w:tcPr>
            <w:tcW w:w="8330" w:type="dxa"/>
            <w:tcBorders>
              <w:top w:val="single" w:sz="12" w:space="0" w:color="auto"/>
              <w:left w:val="single" w:sz="12" w:space="0" w:color="auto"/>
              <w:bottom w:val="single" w:sz="8" w:space="0" w:color="auto"/>
              <w:right w:val="single" w:sz="12" w:space="0" w:color="auto"/>
            </w:tcBorders>
            <w:hideMark/>
          </w:tcPr>
          <w:p w:rsidR="00024906" w:rsidRPr="00E4396B" w:rsidRDefault="00024906" w:rsidP="00E91410">
            <w:pPr>
              <w:rPr>
                <w:rFonts w:ascii="標楷體" w:eastAsia="標楷體" w:hAnsi="標楷體"/>
              </w:rPr>
            </w:pPr>
            <w:r w:rsidRPr="00E4396B">
              <w:rPr>
                <w:rFonts w:ascii="標楷體" w:eastAsia="標楷體" w:hAnsi="標楷體" w:hint="eastAsia"/>
              </w:rPr>
              <w:t>有審查制度且已出版之專書論文</w:t>
            </w:r>
          </w:p>
        </w:tc>
        <w:tc>
          <w:tcPr>
            <w:tcW w:w="765" w:type="dxa"/>
            <w:vMerge w:val="restart"/>
            <w:tcBorders>
              <w:top w:val="single" w:sz="12" w:space="0" w:color="auto"/>
              <w:left w:val="single" w:sz="12" w:space="0" w:color="auto"/>
              <w:bottom w:val="single" w:sz="12" w:space="0" w:color="auto"/>
              <w:right w:val="single" w:sz="12" w:space="0" w:color="auto"/>
            </w:tcBorders>
            <w:vAlign w:val="center"/>
            <w:hideMark/>
          </w:tcPr>
          <w:p w:rsidR="00024906" w:rsidRPr="00E4396B" w:rsidRDefault="00024906" w:rsidP="00E91410">
            <w:pPr>
              <w:jc w:val="center"/>
              <w:rPr>
                <w:rFonts w:ascii="標楷體" w:eastAsia="標楷體" w:hAnsi="標楷體"/>
              </w:rPr>
            </w:pPr>
            <w:r w:rsidRPr="00E4396B">
              <w:rPr>
                <w:rFonts w:ascii="標楷體" w:eastAsia="標楷體" w:hAnsi="標楷體" w:hint="eastAsia"/>
              </w:rPr>
              <w:t>1</w:t>
            </w:r>
          </w:p>
        </w:tc>
      </w:tr>
      <w:tr w:rsidR="00024906" w:rsidRPr="00E4396B" w:rsidTr="00E91410">
        <w:trPr>
          <w:trHeight w:val="352"/>
          <w:jc w:val="center"/>
        </w:trPr>
        <w:tc>
          <w:tcPr>
            <w:tcW w:w="8330" w:type="dxa"/>
            <w:tcBorders>
              <w:top w:val="single" w:sz="8" w:space="0" w:color="auto"/>
              <w:left w:val="single" w:sz="12" w:space="0" w:color="auto"/>
              <w:bottom w:val="single" w:sz="8" w:space="0" w:color="auto"/>
              <w:right w:val="single" w:sz="12" w:space="0" w:color="auto"/>
            </w:tcBorders>
            <w:hideMark/>
          </w:tcPr>
          <w:p w:rsidR="00024906" w:rsidRPr="00E4396B" w:rsidRDefault="00024906" w:rsidP="00E91410">
            <w:pPr>
              <w:rPr>
                <w:rFonts w:ascii="標楷體" w:eastAsia="標楷體" w:hAnsi="標楷體"/>
              </w:rPr>
            </w:pPr>
            <w:r w:rsidRPr="00E4396B">
              <w:rPr>
                <w:rFonts w:ascii="標楷體" w:eastAsia="標楷體" w:hAnsi="標楷體" w:hint="eastAsia"/>
              </w:rPr>
              <w:t>非I級期刊論文，但發表在具有審查制度的專業學術期刊</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024906" w:rsidRPr="00E4396B" w:rsidRDefault="00024906" w:rsidP="00E91410">
            <w:pPr>
              <w:widowControl/>
              <w:rPr>
                <w:rFonts w:ascii="標楷體" w:eastAsia="標楷體" w:hAnsi="標楷體"/>
              </w:rPr>
            </w:pPr>
          </w:p>
        </w:tc>
      </w:tr>
      <w:tr w:rsidR="00024906" w:rsidRPr="00E4396B" w:rsidTr="00E91410">
        <w:trPr>
          <w:trHeight w:val="352"/>
          <w:jc w:val="center"/>
        </w:trPr>
        <w:tc>
          <w:tcPr>
            <w:tcW w:w="8330" w:type="dxa"/>
            <w:tcBorders>
              <w:top w:val="single" w:sz="8" w:space="0" w:color="auto"/>
              <w:left w:val="single" w:sz="12" w:space="0" w:color="auto"/>
              <w:bottom w:val="single" w:sz="12" w:space="0" w:color="auto"/>
              <w:right w:val="single" w:sz="12" w:space="0" w:color="auto"/>
            </w:tcBorders>
            <w:hideMark/>
          </w:tcPr>
          <w:p w:rsidR="00024906" w:rsidRPr="00E4396B" w:rsidRDefault="00024906" w:rsidP="00E91410">
            <w:pPr>
              <w:rPr>
                <w:rFonts w:ascii="標楷體" w:eastAsia="標楷體" w:hAnsi="標楷體"/>
              </w:rPr>
            </w:pPr>
            <w:r w:rsidRPr="00E4396B">
              <w:rPr>
                <w:rFonts w:ascii="標楷體" w:eastAsia="標楷體" w:hAnsi="標楷體" w:hint="eastAsia"/>
              </w:rPr>
              <w:t>EI index 的 International Conference  論文</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024906" w:rsidRPr="00E4396B" w:rsidRDefault="00024906" w:rsidP="00E91410">
            <w:pPr>
              <w:widowControl/>
              <w:rPr>
                <w:rFonts w:ascii="標楷體" w:eastAsia="標楷體" w:hAnsi="標楷體"/>
              </w:rPr>
            </w:pPr>
          </w:p>
        </w:tc>
      </w:tr>
    </w:tbl>
    <w:p w:rsidR="00024906" w:rsidRDefault="00024906" w:rsidP="00024906">
      <w:pPr>
        <w:ind w:left="965" w:hangingChars="402" w:hanging="965"/>
        <w:rPr>
          <w:rFonts w:ascii="標楷體" w:eastAsia="標楷體" w:hAnsi="標楷體"/>
          <w:color w:val="FF0000"/>
          <w:u w:val="single"/>
        </w:rPr>
      </w:pPr>
    </w:p>
    <w:p w:rsidR="00024906" w:rsidRPr="00986496" w:rsidRDefault="00024906" w:rsidP="00024906">
      <w:pPr>
        <w:ind w:left="965" w:hangingChars="402" w:hanging="965"/>
        <w:rPr>
          <w:rFonts w:ascii="標楷體" w:eastAsia="標楷體" w:hAnsi="標楷體"/>
        </w:rPr>
      </w:pPr>
      <w:r w:rsidRPr="00986496">
        <w:rPr>
          <w:rFonts w:ascii="標楷體" w:eastAsia="標楷體" w:hAnsi="標楷體" w:hint="eastAsia"/>
        </w:rPr>
        <w:t>備註二：作者積分比例計算方式：第一作者及通訊作者積分100%，第二作者積分50%、第三作者積分30%，第四作者以後積分10%。</w:t>
      </w:r>
    </w:p>
    <w:p w:rsidR="00927FC2" w:rsidRPr="00986496" w:rsidRDefault="00024906" w:rsidP="00024906">
      <w:r w:rsidRPr="00986496">
        <w:rPr>
          <w:rFonts w:ascii="標楷體" w:eastAsia="標楷體" w:hAnsi="標楷體" w:hint="eastAsia"/>
        </w:rPr>
        <w:t>備註三：發表論文如為共同貢獻之作者序，敬請檢附相關佐證資料。</w:t>
      </w:r>
    </w:p>
    <w:sectPr w:rsidR="00927FC2" w:rsidRPr="0098649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519" w:rsidRDefault="00A22519" w:rsidP="00B21456">
      <w:r>
        <w:separator/>
      </w:r>
    </w:p>
  </w:endnote>
  <w:endnote w:type="continuationSeparator" w:id="0">
    <w:p w:rsidR="00A22519" w:rsidRDefault="00A22519" w:rsidP="00B2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519" w:rsidRDefault="00A22519" w:rsidP="00B21456">
      <w:r>
        <w:separator/>
      </w:r>
    </w:p>
  </w:footnote>
  <w:footnote w:type="continuationSeparator" w:id="0">
    <w:p w:rsidR="00A22519" w:rsidRDefault="00A22519" w:rsidP="00B214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42F40"/>
    <w:multiLevelType w:val="hybridMultilevel"/>
    <w:tmpl w:val="33524672"/>
    <w:lvl w:ilvl="0" w:tplc="5B240EC2">
      <w:start w:val="1"/>
      <w:numFmt w:val="taiwaneseCountingThousand"/>
      <w:lvlText w:val="(%1)"/>
      <w:lvlJc w:val="left"/>
      <w:pPr>
        <w:ind w:left="960" w:hanging="480"/>
      </w:pPr>
      <w:rPr>
        <w:rFonts w:cs="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C73502D"/>
    <w:multiLevelType w:val="hybridMultilevel"/>
    <w:tmpl w:val="2778A308"/>
    <w:lvl w:ilvl="0" w:tplc="082CFDEC">
      <w:start w:val="3"/>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5A1491D"/>
    <w:multiLevelType w:val="hybridMultilevel"/>
    <w:tmpl w:val="CCE4E0A2"/>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8382895"/>
    <w:multiLevelType w:val="hybridMultilevel"/>
    <w:tmpl w:val="33524672"/>
    <w:lvl w:ilvl="0" w:tplc="5B240EC2">
      <w:start w:val="1"/>
      <w:numFmt w:val="taiwaneseCountingThousand"/>
      <w:lvlText w:val="(%1)"/>
      <w:lvlJc w:val="left"/>
      <w:pPr>
        <w:ind w:left="960" w:hanging="480"/>
      </w:pPr>
      <w:rPr>
        <w:rFonts w:cs="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5FC00D24"/>
    <w:multiLevelType w:val="hybridMultilevel"/>
    <w:tmpl w:val="33524672"/>
    <w:lvl w:ilvl="0" w:tplc="5B240EC2">
      <w:start w:val="1"/>
      <w:numFmt w:val="taiwaneseCountingThousand"/>
      <w:lvlText w:val="(%1)"/>
      <w:lvlJc w:val="left"/>
      <w:pPr>
        <w:ind w:left="960" w:hanging="480"/>
      </w:pPr>
      <w:rPr>
        <w:rFonts w:cs="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64027504"/>
    <w:multiLevelType w:val="hybridMultilevel"/>
    <w:tmpl w:val="CCE4E0A2"/>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1547CC0"/>
    <w:multiLevelType w:val="hybridMultilevel"/>
    <w:tmpl w:val="42F884C6"/>
    <w:lvl w:ilvl="0" w:tplc="42F0565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3"/>
  </w:num>
  <w:num w:numId="3">
    <w:abstractNumId w:val="1"/>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906"/>
    <w:rsid w:val="00024906"/>
    <w:rsid w:val="0036029F"/>
    <w:rsid w:val="007731AD"/>
    <w:rsid w:val="007A37A4"/>
    <w:rsid w:val="00986496"/>
    <w:rsid w:val="00A22519"/>
    <w:rsid w:val="00B21456"/>
    <w:rsid w:val="00B51D9B"/>
    <w:rsid w:val="00C34E87"/>
    <w:rsid w:val="00FE2B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D6F7417-BB79-495F-9FDC-47682DDAE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490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
    <w:basedOn w:val="a"/>
    <w:link w:val="a4"/>
    <w:uiPriority w:val="34"/>
    <w:qFormat/>
    <w:rsid w:val="00024906"/>
    <w:pPr>
      <w:ind w:leftChars="200" w:left="480"/>
    </w:pPr>
  </w:style>
  <w:style w:type="character" w:customStyle="1" w:styleId="a4">
    <w:name w:val="清單段落 字元"/>
    <w:aliases w:val="卑南壹 字元,標1 字元"/>
    <w:basedOn w:val="a0"/>
    <w:link w:val="a3"/>
    <w:uiPriority w:val="34"/>
    <w:qFormat/>
    <w:locked/>
    <w:rsid w:val="00024906"/>
    <w:rPr>
      <w:rFonts w:ascii="Times New Roman" w:eastAsia="新細明體" w:hAnsi="Times New Roman" w:cs="Times New Roman"/>
      <w:szCs w:val="24"/>
    </w:rPr>
  </w:style>
  <w:style w:type="paragraph" w:customStyle="1" w:styleId="2-">
    <w:name w:val="樣式2-案由"/>
    <w:basedOn w:val="a"/>
    <w:link w:val="2-0"/>
    <w:qFormat/>
    <w:rsid w:val="00024906"/>
    <w:pPr>
      <w:snapToGrid w:val="0"/>
      <w:ind w:leftChars="233" w:left="2129" w:hangingChars="560" w:hanging="1570"/>
      <w:jc w:val="both"/>
      <w:outlineLvl w:val="0"/>
    </w:pPr>
    <w:rPr>
      <w:rFonts w:ascii="Arial" w:eastAsia="標楷體" w:hAnsi="Arial"/>
      <w:b/>
      <w:bCs/>
      <w:sz w:val="28"/>
      <w:szCs w:val="22"/>
    </w:rPr>
  </w:style>
  <w:style w:type="character" w:customStyle="1" w:styleId="2-0">
    <w:name w:val="樣式2-案由 字元"/>
    <w:basedOn w:val="a0"/>
    <w:link w:val="2-"/>
    <w:rsid w:val="00024906"/>
    <w:rPr>
      <w:rFonts w:ascii="Arial" w:eastAsia="標楷體" w:hAnsi="Arial" w:cs="Times New Roman"/>
      <w:b/>
      <w:bCs/>
      <w:sz w:val="28"/>
    </w:rPr>
  </w:style>
  <w:style w:type="paragraph" w:styleId="a5">
    <w:name w:val="header"/>
    <w:basedOn w:val="a"/>
    <w:link w:val="a6"/>
    <w:uiPriority w:val="99"/>
    <w:unhideWhenUsed/>
    <w:rsid w:val="00B21456"/>
    <w:pPr>
      <w:tabs>
        <w:tab w:val="center" w:pos="4153"/>
        <w:tab w:val="right" w:pos="8306"/>
      </w:tabs>
      <w:snapToGrid w:val="0"/>
    </w:pPr>
    <w:rPr>
      <w:sz w:val="20"/>
      <w:szCs w:val="20"/>
    </w:rPr>
  </w:style>
  <w:style w:type="character" w:customStyle="1" w:styleId="a6">
    <w:name w:val="頁首 字元"/>
    <w:basedOn w:val="a0"/>
    <w:link w:val="a5"/>
    <w:uiPriority w:val="99"/>
    <w:rsid w:val="00B21456"/>
    <w:rPr>
      <w:rFonts w:ascii="Times New Roman" w:eastAsia="新細明體" w:hAnsi="Times New Roman" w:cs="Times New Roman"/>
      <w:sz w:val="20"/>
      <w:szCs w:val="20"/>
    </w:rPr>
  </w:style>
  <w:style w:type="paragraph" w:styleId="a7">
    <w:name w:val="footer"/>
    <w:basedOn w:val="a"/>
    <w:link w:val="a8"/>
    <w:uiPriority w:val="99"/>
    <w:unhideWhenUsed/>
    <w:rsid w:val="00B21456"/>
    <w:pPr>
      <w:tabs>
        <w:tab w:val="center" w:pos="4153"/>
        <w:tab w:val="right" w:pos="8306"/>
      </w:tabs>
      <w:snapToGrid w:val="0"/>
    </w:pPr>
    <w:rPr>
      <w:sz w:val="20"/>
      <w:szCs w:val="20"/>
    </w:rPr>
  </w:style>
  <w:style w:type="character" w:customStyle="1" w:styleId="a8">
    <w:name w:val="頁尾 字元"/>
    <w:basedOn w:val="a0"/>
    <w:link w:val="a7"/>
    <w:uiPriority w:val="99"/>
    <w:rsid w:val="00B2145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asia1029</dc:creator>
  <cp:keywords/>
  <dc:description/>
  <cp:lastModifiedBy>Windows 使用者</cp:lastModifiedBy>
  <cp:revision>3</cp:revision>
  <dcterms:created xsi:type="dcterms:W3CDTF">2019-06-10T06:10:00Z</dcterms:created>
  <dcterms:modified xsi:type="dcterms:W3CDTF">2019-08-09T02:14:00Z</dcterms:modified>
</cp:coreProperties>
</file>